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</w:pPr>
      <w:r>
        <w:rPr>
          <w:rtl w:val="0"/>
          <w:lang w:val="en-US"/>
        </w:rPr>
        <w:t>Pastor Rick Baker</w:t>
      </w:r>
    </w:p>
    <w:p>
      <w:pPr>
        <w:pStyle w:val="Body A"/>
        <w:jc w:val="right"/>
      </w:pPr>
      <w:r>
        <w:rPr>
          <w:rtl w:val="0"/>
          <w:lang w:val="en-US"/>
        </w:rPr>
        <w:t>March 1 2020</w:t>
      </w:r>
    </w:p>
    <w:p>
      <w:pPr>
        <w:pStyle w:val="Heading"/>
      </w:pPr>
      <w:r>
        <w:rPr>
          <w:rtl w:val="0"/>
          <w:lang w:val="en-US"/>
        </w:rPr>
        <w:t xml:space="preserve">The Tragic Results of Works-Based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Righteousness</w:t>
      </w:r>
      <w:r>
        <w:rPr>
          <w:rtl w:val="0"/>
          <w:lang w:val="en-US"/>
        </w:rPr>
        <w:t>”</w:t>
      </w:r>
    </w:p>
    <w:p>
      <w:pPr>
        <w:pStyle w:val="Body A"/>
        <w:jc w:val="center"/>
      </w:pPr>
      <w:r>
        <w:rPr>
          <w:rtl w:val="0"/>
          <w:lang w:val="en-US"/>
        </w:rPr>
        <w:t>Mark 12:35-44</w:t>
      </w:r>
    </w:p>
    <w:p>
      <w:pPr>
        <w:pStyle w:val="Body A"/>
        <w:jc w:val="center"/>
      </w:pPr>
    </w:p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Jesus</w:t>
      </w:r>
      <w:r>
        <w:rPr>
          <w:sz w:val="20"/>
          <w:szCs w:val="20"/>
          <w:rtl w:val="0"/>
          <w:lang w:val="en-US"/>
        </w:rPr>
        <w:t xml:space="preserve">’ </w:t>
      </w:r>
      <w:r>
        <w:rPr>
          <w:sz w:val="20"/>
          <w:szCs w:val="20"/>
          <w:rtl w:val="0"/>
          <w:lang w:val="en-US"/>
        </w:rPr>
        <w:t>final public showdown with the teachers of the law is also his final public shutdown of their credibility as spokesmen for God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there are common characteristics of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false teachers</w:t>
      </w:r>
      <w:r>
        <w:rPr>
          <w:sz w:val="20"/>
          <w:szCs w:val="20"/>
          <w:rtl w:val="0"/>
          <w:lang w:val="en-US"/>
        </w:rPr>
        <w:t xml:space="preserve"> everywhere</w:t>
      </w:r>
      <w:r>
        <w:rPr>
          <w:sz w:val="20"/>
          <w:szCs w:val="20"/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1. </w:t>
      </w:r>
      <w:r>
        <w:rPr>
          <w:b w:val="1"/>
          <w:bCs w:val="1"/>
          <w:rtl w:val="0"/>
          <w:lang w:val="en-US"/>
        </w:rPr>
        <w:t>Gross misconduct with respect to the handling of the Scriptures</w:t>
      </w:r>
      <w:r>
        <w:rPr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(12:35-37).</w:t>
      </w:r>
    </w:p>
    <w:p>
      <w:pPr>
        <w:pStyle w:val="Body A"/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How is it that the teachers of the law say that the Christ is the Son of David and David says Messiah is his Lord?!</w:t>
      </w:r>
      <w:r>
        <w:rPr>
          <w:sz w:val="20"/>
          <w:szCs w:val="20"/>
          <w:rtl w:val="0"/>
          <w:lang w:val="en-US"/>
        </w:rPr>
        <w:t>”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How can He be his Lord and his son?</w:t>
      </w:r>
      <w:r>
        <w:rPr>
          <w:sz w:val="20"/>
          <w:szCs w:val="20"/>
          <w:rtl w:val="0"/>
          <w:lang w:val="en-US"/>
        </w:rPr>
        <w:t>”</w:t>
      </w:r>
    </w:p>
    <w:p>
      <w:pPr>
        <w:pStyle w:val="Body A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False teachers not only treat the Scriptures subjectively and customize the meaning, but quite frankly are unable to make deep dives into the rich heart of theological truth.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Holy Spirit pegs Messiah as a greater KING. And the best of theologians were intentionally thick.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</w:t>
      </w:r>
      <w:r>
        <w:rPr>
          <w:b w:val="1"/>
          <w:bCs w:val="1"/>
          <w:rtl w:val="0"/>
          <w:lang w:val="fr-FR"/>
        </w:rPr>
        <w:t>Hypocrisy</w:t>
      </w:r>
      <w:r>
        <w:rPr>
          <w:b w:val="1"/>
          <w:bCs w:val="1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 xml:space="preserve">the fruit of religion based on righteousness by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good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works </w:t>
      </w:r>
      <w:r>
        <w:rPr>
          <w:sz w:val="20"/>
          <w:szCs w:val="20"/>
          <w:rtl w:val="0"/>
          <w:lang w:val="en-US"/>
        </w:rPr>
        <w:t>(12:38-40).</w:t>
      </w:r>
    </w:p>
    <w:p>
      <w:pPr>
        <w:pStyle w:val="Body A"/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Works-based righteousness/ justification by works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favour with God is earned by good behaviour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regardless of how you dress it up, it is the religion of the natural man. It has no resemblance whatsoever to the religion of Jesus Christ. </w:t>
      </w:r>
    </w:p>
    <w:p>
      <w:pPr>
        <w:pStyle w:val="Body A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Flowing rob</w:t>
      </w: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  <w:lang w:val="en-US"/>
        </w:rPr>
        <w:t>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Important seats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synagogue, banquet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Lengthy prayers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18"/>
          <w:szCs w:val="18"/>
        </w:rPr>
      </w:pPr>
      <w:r>
        <w:rPr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The emotional, physical, and financial abuse of the most vulnerable of society</w:t>
      </w:r>
      <w:r>
        <w:rPr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(12:40-44). </w:t>
      </w:r>
    </w:p>
    <w:p>
      <w:pPr>
        <w:pStyle w:val="Body A"/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Whether out of wealth, or out of want, you cannot buy favour with God; in fact you may use your last two cents to buy you nothing but your death. This is the fruit of bad teaching and religious abuse.</w:t>
      </w:r>
    </w:p>
    <w:p>
      <w:pPr>
        <w:pStyle w:val="Body A"/>
        <w:rPr>
          <w:sz w:val="20"/>
          <w:szCs w:val="20"/>
        </w:rPr>
      </w:pPr>
    </w:p>
    <w:p>
      <w:pPr>
        <w:pStyle w:val="Body Text 2"/>
      </w:pPr>
      <w:r>
        <w:rPr>
          <w:rtl w:val="0"/>
          <w:lang w:val="en-US"/>
        </w:rPr>
        <w:t>The devourers will be punished most severely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the devoured masses will remain devoured by their unwillingness to flee the self-righteousness of works-based religion.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