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jc w:val="right"/>
      </w:pPr>
      <w:r>
        <w:rPr>
          <w:rtl w:val="0"/>
          <w:lang w:val="en-US"/>
        </w:rPr>
        <w:t>January 19 2020</w:t>
      </w:r>
    </w:p>
    <w:p>
      <w:pPr>
        <w:pStyle w:val="Heading"/>
      </w:pPr>
      <w:r>
        <w:rPr>
          <w:rtl w:val="0"/>
          <w:lang w:val="en-US"/>
        </w:rPr>
        <w:t>The Futility of Self-Reliance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Mark 9:14-29</w:t>
      </w:r>
    </w:p>
    <w:p>
      <w:pPr>
        <w:pStyle w:val="Body"/>
      </w:pPr>
    </w:p>
    <w:p>
      <w:pPr>
        <w:pStyle w:val="Body Text"/>
      </w:pPr>
      <w:r>
        <w:rPr>
          <w:rtl w:val="0"/>
          <w:lang w:val="en-US"/>
        </w:rPr>
        <w:t>Human history is the long futile story of man trying to depend on himself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if success ever does come to that man, it is because the providence of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grace beats him to the incident.</w:t>
      </w:r>
    </w:p>
    <w:p>
      <w:pPr>
        <w:pStyle w:val="Body Text"/>
      </w:pPr>
      <w:r>
        <w:rPr>
          <w:rtl w:val="0"/>
          <w:lang w:val="en-US"/>
        </w:rPr>
        <w:t xml:space="preserve"> </w:t>
      </w:r>
    </w:p>
    <w:p>
      <w:pPr>
        <w:pStyle w:val="List Paragraph"/>
        <w:ind w:left="770" w:firstLine="0"/>
      </w:pPr>
      <w:r>
        <w:rPr>
          <w:rtl w:val="0"/>
          <w:lang w:val="en-US"/>
        </w:rPr>
        <w:t>What are you doing practically to break yourself of the habit of self-reliance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do you know its signs?</w:t>
      </w:r>
    </w:p>
    <w:p>
      <w:pPr>
        <w:pStyle w:val="List Paragraph"/>
        <w:ind w:left="770" w:firstLine="0"/>
      </w:pPr>
    </w:p>
    <w:p>
      <w:pPr>
        <w:pStyle w:val="Heading 2"/>
      </w:pPr>
      <w:r>
        <w:rPr>
          <w:rtl w:val="0"/>
          <w:lang w:val="en-US"/>
        </w:rPr>
        <w:t>Overcoming the futility of self-reliance</w:t>
      </w:r>
      <w:r>
        <w:rPr>
          <w:rtl w:val="0"/>
        </w:rPr>
        <w:t>…</w:t>
      </w:r>
      <w:r>
        <w:rPr>
          <w:rtl w:val="0"/>
          <w:lang w:val="en-US"/>
        </w:rPr>
        <w:t>the fruit of UNBELIEF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Consider the two forms </w:t>
      </w:r>
      <w:r>
        <w:rPr>
          <w:rtl w:val="0"/>
        </w:rPr>
        <w:t>“</w:t>
      </w:r>
      <w:r>
        <w:rPr>
          <w:rtl w:val="0"/>
          <w:lang w:val="en-US"/>
        </w:rPr>
        <w:t>O unbelieving generation</w:t>
      </w:r>
      <w:r>
        <w:rPr>
          <w:rtl w:val="0"/>
        </w:rPr>
        <w:t>”</w:t>
      </w:r>
      <w:r>
        <w:rPr>
          <w:rtl w:val="0"/>
          <w:lang w:val="en-US"/>
        </w:rPr>
        <w:t xml:space="preserve"> takes in the text, and what is required to spot them and change them to believing</w:t>
      </w:r>
      <w:r>
        <w:rPr>
          <w:rtl w:val="0"/>
        </w:rPr>
        <w:t>…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tl w:val="0"/>
        </w:rPr>
        <w:t xml:space="preserve">1. </w:t>
      </w:r>
      <w:r>
        <w:rPr>
          <w:b w:val="1"/>
          <w:bCs w:val="1"/>
          <w:rtl w:val="0"/>
          <w:lang w:val="en-US"/>
        </w:rPr>
        <w:t>POSITIONAL UNBELIEF</w:t>
      </w:r>
      <w:r>
        <w:rPr>
          <w:rtl w:val="0"/>
        </w:rPr>
        <w:t>--</w:t>
      </w:r>
      <w:r>
        <w:rPr>
          <w:rtl w:val="0"/>
          <w:lang w:val="en-US"/>
        </w:rPr>
        <w:t xml:space="preserve">Unbelief concerning what God can do </w:t>
      </w:r>
      <w:r>
        <w:rPr>
          <w:sz w:val="20"/>
          <w:szCs w:val="20"/>
          <w:rtl w:val="0"/>
        </w:rPr>
        <w:t xml:space="preserve">(9:19-27)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“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if you can do anything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–</w:t>
      </w:r>
      <w:r>
        <w:rPr>
          <w:sz w:val="20"/>
          <w:szCs w:val="20"/>
          <w:rtl w:val="0"/>
          <w:lang w:val="en-US"/>
        </w:rPr>
        <w:t>he believes Jesus cares; he doesn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 xml:space="preserve">t believe in his power.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“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If you can? Everything is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fr-FR"/>
        </w:rPr>
        <w:t>possible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to him who believes.</w:t>
      </w:r>
      <w:r>
        <w:rPr>
          <w:b w:val="1"/>
          <w:bCs w:val="1"/>
          <w:i w:val="1"/>
          <w:iCs w:val="1"/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 xml:space="preserve">not because there is anything </w:t>
        <w:tab/>
        <w:t xml:space="preserve">powerful or positive in believing, in and of itself, but because believing in God, to whom nothing is </w:t>
        <w:tab/>
        <w:t xml:space="preserve">impossible, makes everything </w:t>
      </w:r>
      <w:r>
        <w:rPr>
          <w:sz w:val="20"/>
          <w:szCs w:val="20"/>
          <w:u w:val="single"/>
          <w:rtl w:val="0"/>
          <w:lang w:val="fr-FR"/>
        </w:rPr>
        <w:t>possible</w:t>
      </w:r>
      <w:r>
        <w:rPr>
          <w:sz w:val="20"/>
          <w:szCs w:val="20"/>
          <w:rtl w:val="0"/>
          <w:lang w:val="en-US"/>
        </w:rPr>
        <w:t xml:space="preserve"> for him who believes.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</w:rPr>
        <w:t>“</w:t>
      </w:r>
      <w:r>
        <w:rPr>
          <w:b w:val="1"/>
          <w:bCs w:val="1"/>
          <w:sz w:val="20"/>
          <w:szCs w:val="20"/>
          <w:rtl w:val="0"/>
          <w:lang w:val="en-US"/>
        </w:rPr>
        <w:t>I do believe; help me overcome my unbelief!</w:t>
      </w:r>
      <w:r>
        <w:rPr>
          <w:b w:val="1"/>
          <w:bCs w:val="1"/>
          <w:sz w:val="20"/>
          <w:szCs w:val="20"/>
          <w:rtl w:val="0"/>
        </w:rPr>
        <w:t>”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Belief is the total capitulation of prideful self-dependence to a wholehearted belief to trust in Christ alone; not only to believe in him (he is; he can), but to trust in him alone to enable you to believe.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tl w:val="0"/>
        </w:rPr>
        <w:t xml:space="preserve">2. </w:t>
      </w:r>
      <w:r>
        <w:rPr>
          <w:b w:val="1"/>
          <w:bCs w:val="1"/>
          <w:rtl w:val="0"/>
          <w:lang w:val="de-DE"/>
        </w:rPr>
        <w:t>PRACTICAL UNBELIEF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Unbelief through self-reliance </w:t>
      </w:r>
      <w:r>
        <w:rPr>
          <w:sz w:val="20"/>
          <w:szCs w:val="20"/>
          <w:rtl w:val="0"/>
        </w:rPr>
        <w:t>(9:14-19, 28,29)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“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Why couldn</w:t>
      </w:r>
      <w:r>
        <w:rPr>
          <w:b w:val="1"/>
          <w:bCs w:val="1"/>
          <w:i w:val="1"/>
          <w:iCs w:val="1"/>
          <w:sz w:val="20"/>
          <w:szCs w:val="20"/>
          <w:rtl w:val="0"/>
        </w:rPr>
        <w:t>’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t we drive it out?</w:t>
      </w:r>
      <w:r>
        <w:rPr>
          <w:sz w:val="20"/>
          <w:szCs w:val="20"/>
          <w:rtl w:val="0"/>
        </w:rPr>
        <w:t>”—</w:t>
      </w:r>
      <w:r>
        <w:rPr>
          <w:sz w:val="20"/>
          <w:szCs w:val="20"/>
          <w:rtl w:val="0"/>
          <w:lang w:val="en-US"/>
        </w:rPr>
        <w:t xml:space="preserve">you tried to be middlemen in a spiritual transaction without the </w:t>
        <w:tab/>
        <w:t xml:space="preserve">permission and powerful resources found in Christ alone. 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</w:rPr>
        <w:tab/>
        <w:t>“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This kind can come out only by prayer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 (you didn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 xml:space="preserve">t pray)-- You mistakenly thought that the gifts given </w:t>
        <w:tab/>
        <w:t>you (6:7) were now yours to control and exercise, independent of Christ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 xml:space="preserve">trusting in yourself is a form of </w:t>
        <w:tab/>
        <w:t>and return to unbelief.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Our gifts must be exercised in constant contact and dependence on Christ or</w:t>
      </w:r>
      <w:r>
        <w:rPr>
          <w:sz w:val="20"/>
          <w:szCs w:val="20"/>
          <w:rtl w:val="0"/>
        </w:rPr>
        <w:t xml:space="preserve">… </w:t>
      </w:r>
    </w:p>
    <w:p>
      <w:pPr>
        <w:pStyle w:val="Body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We lose vitality--our gifts become a performance from a corpse rather than a living sacrifice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We lose humility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our gifts are used for the glory of ourselves rather than the glory of the Lord. (William Barclay)</w:t>
      </w:r>
    </w:p>
    <w:p>
      <w:pPr>
        <w:pStyle w:val="Body"/>
        <w:rPr>
          <w:sz w:val="20"/>
          <w:szCs w:val="20"/>
        </w:rPr>
      </w:pPr>
    </w:p>
    <w:p>
      <w:pPr>
        <w:pStyle w:val="Body Text 2"/>
      </w:pPr>
      <w:r>
        <w:rPr>
          <w:rtl w:val="0"/>
          <w:lang w:val="en-US"/>
        </w:rPr>
        <w:t>Remember that we are agents of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power and grace; not free agents calling our own shots in favour of our will and our wishes.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